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776B" w14:textId="77777777" w:rsidR="007D3CB8" w:rsidRPr="000476D1" w:rsidRDefault="007D3CB8" w:rsidP="007D3CB8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0476D1">
        <w:rPr>
          <w:rFonts w:ascii="Arial" w:hAnsi="Arial" w:cs="Arial"/>
          <w:caps/>
          <w:sz w:val="24"/>
          <w:szCs w:val="24"/>
        </w:rPr>
        <w:t>Assemblea dei soci del 4 maggio 2025</w:t>
      </w:r>
    </w:p>
    <w:p w14:paraId="7B5C02A8" w14:textId="1F64F2B2" w:rsidR="007D3CB8" w:rsidRPr="00B4075B" w:rsidRDefault="007D3CB8" w:rsidP="007D3CB8">
      <w:pPr>
        <w:spacing w:after="0" w:line="360" w:lineRule="auto"/>
        <w:jc w:val="center"/>
        <w:rPr>
          <w:rFonts w:ascii="Arial" w:hAnsi="Arial" w:cs="Arial"/>
          <w:smallCaps/>
          <w:sz w:val="24"/>
          <w:szCs w:val="24"/>
        </w:rPr>
      </w:pPr>
      <w:r w:rsidRPr="00B4075B">
        <w:rPr>
          <w:rFonts w:ascii="Arial" w:hAnsi="Arial" w:cs="Arial"/>
          <w:smallCaps/>
          <w:sz w:val="24"/>
          <w:szCs w:val="24"/>
        </w:rPr>
        <w:t xml:space="preserve">Intervento di </w:t>
      </w:r>
      <w:r>
        <w:rPr>
          <w:rFonts w:ascii="Arial" w:hAnsi="Arial" w:cs="Arial"/>
          <w:smallCaps/>
          <w:sz w:val="24"/>
          <w:szCs w:val="24"/>
        </w:rPr>
        <w:t>Maria Stella RAGONE</w:t>
      </w:r>
      <w:r w:rsidRPr="00B4075B">
        <w:rPr>
          <w:rFonts w:ascii="Arial" w:hAnsi="Arial" w:cs="Arial"/>
          <w:smallCaps/>
          <w:sz w:val="24"/>
          <w:szCs w:val="24"/>
        </w:rPr>
        <w:t xml:space="preserve"> sul bilancio </w:t>
      </w:r>
    </w:p>
    <w:p w14:paraId="0DD67E5F" w14:textId="77777777" w:rsidR="007D3CB8" w:rsidRDefault="007D3CB8" w:rsidP="007D3CB8">
      <w:pPr>
        <w:spacing w:after="0" w:line="360" w:lineRule="auto"/>
        <w:ind w:left="708" w:firstLine="708"/>
        <w:rPr>
          <w:rFonts w:ascii="Abadi" w:eastAsia="Times New Roman" w:hAnsi="Abadi" w:cs="Times New Roman"/>
          <w:kern w:val="0"/>
          <w:sz w:val="28"/>
          <w:szCs w:val="28"/>
          <w:lang w:eastAsia="it-IT"/>
        </w:rPr>
      </w:pPr>
    </w:p>
    <w:p w14:paraId="4EFF53F5" w14:textId="7EBF596C" w:rsidR="00705238" w:rsidRPr="00E33FDD" w:rsidRDefault="00705238" w:rsidP="007D3CB8">
      <w:pPr>
        <w:spacing w:after="0" w:line="360" w:lineRule="auto"/>
        <w:ind w:left="708" w:firstLine="708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Gentili Soci,</w:t>
      </w:r>
    </w:p>
    <w:p w14:paraId="3444B526" w14:textId="77777777" w:rsidR="00705238" w:rsidRPr="00E33FDD" w:rsidRDefault="00865DE2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colgo l’opportunità per offrire all’Assemblea spunti e riflessioni </w:t>
      </w:r>
      <w:r w:rsidR="0035762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su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l bilancio oggi in approvazione</w:t>
      </w:r>
      <w:r w:rsidR="0035762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, che muovono dalla necessità di </w:t>
      </w:r>
      <w:r w:rsidRPr="00E33FDD"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  <w:t>maggiore chiarezza</w:t>
      </w:r>
      <w:r w:rsidR="001352C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,</w:t>
      </w:r>
      <w:r w:rsidR="0035762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partecipazione e rispetto dei principi mutualistici cui deve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continuare ad </w:t>
      </w:r>
      <w:r w:rsidR="0035762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ispirarsi la nostra banca.</w:t>
      </w:r>
    </w:p>
    <w:p w14:paraId="4AE62FCC" w14:textId="77777777" w:rsidR="00705238" w:rsidRPr="00E33FDD" w:rsidRDefault="0035762F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Il primo elemento che intendo segnalare è quello relativo</w:t>
      </w:r>
      <w:r w:rsidR="00705238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 xml:space="preserve"> </w:t>
      </w:r>
      <w:r w:rsidR="00865DE2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a</w:t>
      </w:r>
      <w:r w:rsidR="00705238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 xml:space="preserve">ll’utilizzo dei fondi di beneficenza e </w:t>
      </w:r>
      <w:proofErr w:type="gramStart"/>
      <w:r w:rsidR="00705238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sponsorizzazioni</w:t>
      </w:r>
      <w:r w:rsidR="00865DE2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 xml:space="preserve"> .</w:t>
      </w:r>
      <w:proofErr w:type="gramEnd"/>
    </w:p>
    <w:p w14:paraId="3B724B85" w14:textId="77777777" w:rsidR="00865DE2" w:rsidRPr="00E33FDD" w:rsidRDefault="00865DE2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A 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mio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avviso sarebbe meglio accrescere la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chiarezza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FC036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delle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informazioni</w:t>
      </w:r>
      <w:r w:rsidR="001352C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attraverso una dettagliata </w:t>
      </w:r>
      <w:r w:rsidR="00705238"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rendicontazione </w:t>
      </w:r>
      <w:r w:rsidR="0070523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sull’utilizzo dei fondi destinati ad attività benefiche e</w:t>
      </w:r>
      <w:r w:rsidR="00FD7C93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d a</w:t>
      </w:r>
      <w:r w:rsidR="0070523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sponsorizzazioni.</w:t>
      </w:r>
      <w:r w:rsidR="001352CF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Tutti i </w:t>
      </w:r>
      <w:r w:rsidR="0070523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soci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hanno </w:t>
      </w:r>
      <w:r w:rsidR="0070523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il diritto di sapere </w:t>
      </w:r>
      <w:r w:rsidR="00705238"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quali enti abbiano ricevuto contributi, per quali progetti e con quali criteri di selezione</w:t>
      </w:r>
      <w:r w:rsidR="0070523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.</w:t>
      </w:r>
    </w:p>
    <w:p w14:paraId="2AC804C2" w14:textId="77777777" w:rsidR="00F46DF8" w:rsidRPr="00E33FDD" w:rsidRDefault="00705238" w:rsidP="00E75014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La funzione sociale della nostra BCC è un valore fondamentale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proprio per questo è necessario che l’assegnazione delle risorse</w:t>
      </w:r>
      <w:r w:rsidR="00741989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avvenga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in modo equo, </w:t>
      </w:r>
      <w:r w:rsidR="00741989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chiaro e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trasparente, evitando qualsiasi zona d’ombra o discrezionalità eccessiva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.</w:t>
      </w:r>
    </w:p>
    <w:p w14:paraId="703576C7" w14:textId="77777777" w:rsidR="00705238" w:rsidRPr="00E33FDD" w:rsidRDefault="000A625B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Il secondo elemento che ritengo necessario sottolineare riguarda i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FD7C93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c</w:t>
      </w:r>
      <w:r w:rsidR="00705238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osti per dirigenti e amministratori</w:t>
      </w:r>
      <w:r w:rsidR="00E75014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.</w:t>
      </w:r>
    </w:p>
    <w:p w14:paraId="4E1A98E4" w14:textId="77777777" w:rsidR="00751572" w:rsidRPr="00E33FDD" w:rsidRDefault="00705238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Analizzando il bilancio, risulta evidente un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livello di costi sostenuti per compensi a dirigenti e amministratori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che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, per l’anno 2024, ha raggiunto la cifra considerevole di 1 milione e 58 mila euro.</w:t>
      </w:r>
    </w:p>
    <w:p w14:paraId="6D68528B" w14:textId="77777777" w:rsidR="00705238" w:rsidRPr="00E33FDD" w:rsidRDefault="00705238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In una banca cooperativa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, che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appartiene ai soci e che ha finalità mutualistiche, tali costi </w:t>
      </w:r>
      <w:r w:rsidR="00933707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non sono</w:t>
      </w:r>
      <w:r w:rsidR="00741989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coerenti con i principi di sobrietà</w:t>
      </w:r>
      <w:r w:rsidR="00933707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,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con la situazione economica complessiva della banca</w:t>
      </w:r>
      <w:r w:rsidR="00933707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e sono 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notevolmente </w:t>
      </w:r>
      <w:r w:rsidR="00F46DF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maggiori </w:t>
      </w:r>
      <w:r w:rsidR="008A0249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di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quelli sostenuti da altre BCC a noi vicine. Quindi</w:t>
      </w:r>
      <w:r w:rsidR="00FD7C93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,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è indispensabile una</w:t>
      </w:r>
      <w:r w:rsidR="00751572" w:rsidRPr="00E33FDD">
        <w:rPr>
          <w:rFonts w:ascii="Arial" w:eastAsia="Times New Roman" w:hAnsi="Arial" w:cs="Arial"/>
          <w:color w:val="FF0000"/>
          <w:kern w:val="0"/>
          <w:sz w:val="24"/>
          <w:szCs w:val="24"/>
          <w:lang w:eastAsia="it-IT"/>
        </w:rPr>
        <w:t xml:space="preserve"> 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valutazione di sostenibilità e di opportunità rispetto ai risultati di bilancio e una maggiore trasparenza sui criteri di determinazione di tali compensi.</w:t>
      </w:r>
    </w:p>
    <w:p w14:paraId="56339807" w14:textId="77777777" w:rsidR="0035762F" w:rsidRPr="00E33FDD" w:rsidRDefault="0035762F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Di qui la nostra 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decisione, precisata nel nostro programma,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di 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ridurre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del 15% i compensi per gli amministratori e rimodula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re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le retribuzioni per i dirigenti, ancorate soprattutto ai risultati economici conseguiti dalla banca.</w:t>
      </w:r>
    </w:p>
    <w:p w14:paraId="2E577769" w14:textId="77777777" w:rsidR="007D3CB8" w:rsidRPr="00E33FDD" w:rsidRDefault="000A625B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Ulteriore elemento di rilievo riguarda la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143995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Continuità nella classificazione dei costi</w:t>
      </w:r>
      <w:r w:rsidR="00E75014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.</w:t>
      </w:r>
    </w:p>
    <w:p w14:paraId="309E3DE4" w14:textId="6C8CC54B" w:rsidR="00F46DF8" w:rsidRPr="00E33FDD" w:rsidRDefault="000A625B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Infatti</w:t>
      </w:r>
      <w:r w:rsidR="00FD7C93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,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abbiamo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riscontrato </w:t>
      </w:r>
      <w:r w:rsidR="00143995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una discontinuità e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una</w:t>
      </w:r>
      <w:r w:rsidR="00143995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scarsa coerenza nella classificazione e rappresentazione delle voci di costo rispetto agli esercizi precedenti. Tale </w:t>
      </w:r>
      <w:r w:rsidR="00143995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lastRenderedPageBreak/>
        <w:t>difformità compromette la comparabilità temporale dei dati e rende meno trasparente la lettura dell’evoluzione gestionale.</w:t>
      </w:r>
    </w:p>
    <w:p w14:paraId="75E0A466" w14:textId="77777777" w:rsidR="000F5591" w:rsidRPr="00E33FDD" w:rsidRDefault="000A625B" w:rsidP="007D3CB8">
      <w:pPr>
        <w:spacing w:after="0" w:line="360" w:lineRule="auto"/>
        <w:ind w:firstLine="708"/>
        <w:rPr>
          <w:rFonts w:ascii="Arial" w:eastAsia="Times New Roman" w:hAnsi="Arial" w:cs="Arial"/>
          <w:kern w:val="0"/>
          <w:sz w:val="24"/>
          <w:szCs w:val="24"/>
          <w:u w:val="single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L’ultimo elemento che intendo segnalare riguarda</w:t>
      </w:r>
      <w:r w:rsidR="00E75014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l’</w:t>
      </w:r>
      <w:r w:rsidR="000F5591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Utile netto</w:t>
      </w:r>
      <w:r w:rsidR="00E75014" w:rsidRPr="00E33F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</w:rPr>
        <w:t>.</w:t>
      </w:r>
    </w:p>
    <w:p w14:paraId="460FC0C9" w14:textId="77777777" w:rsidR="00F46DF8" w:rsidRPr="00E33FDD" w:rsidRDefault="000F5591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Osservando il bilancio d’esercizio sottoposto oggi alla nostra approvazione, </w:t>
      </w:r>
      <w:r w:rsidR="00F46DF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appare evidente 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la riduzione dell’utile netto rispetto all’anno precedente</w:t>
      </w:r>
      <w:r w:rsidR="00F46DF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. Tale risultato economico costituisce, secondo noi, </w:t>
      </w:r>
      <w:r w:rsidR="00CE13A0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un </w:t>
      </w:r>
      <w:r w:rsidR="00F46DF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tema sul quale lavorare nell’immediato futuro.</w:t>
      </w:r>
    </w:p>
    <w:p w14:paraId="6563AFDD" w14:textId="77777777" w:rsidR="00CE13A0" w:rsidRPr="00E33FDD" w:rsidRDefault="000F5591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Mi riferisco in particolare alla crescita dei tassi attivi del +4,51% e alla contestuale riduzione dei tassi passivi verso la clientela del -6,</w:t>
      </w:r>
      <w:r w:rsidR="00751572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6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4%. </w:t>
      </w:r>
    </w:p>
    <w:p w14:paraId="1EF646F0" w14:textId="77777777" w:rsidR="007D3CB8" w:rsidRPr="00E33FDD" w:rsidRDefault="000F5591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Due dinamiche che, teoricamente, avrebbero dovuto favorire un’espansione del margine di interesse e, quindi, un risultato economico più positivo per l’esercizio.</w:t>
      </w:r>
    </w:p>
    <w:p w14:paraId="17BD7ABB" w14:textId="65844920" w:rsidR="005451DA" w:rsidRPr="00E33FDD" w:rsidRDefault="00751572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Questo </w:t>
      </w:r>
      <w:r w:rsidR="000F5591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disallineamento tra andamento dei tassi e utile netto </w:t>
      </w:r>
      <w:r w:rsidR="005451DA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fa emergere la necessità di </w:t>
      </w:r>
      <w:proofErr w:type="spellStart"/>
      <w:r w:rsidR="005451DA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ri</w:t>
      </w:r>
      <w:proofErr w:type="spellEnd"/>
      <w:r w:rsidR="005451DA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-qualificare ancora meglio la gestione caratteristica attraverso la rivisitazione della struttura dei costi.</w:t>
      </w:r>
    </w:p>
    <w:p w14:paraId="5B1A1F90" w14:textId="77777777" w:rsidR="000A625B" w:rsidRPr="00E33FDD" w:rsidRDefault="000A625B" w:rsidP="007D3CB8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Alla luce di queste considerazioni, 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i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l Consiglio di Amministrazione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che sarà eletto in quest’assemblea, dovrà</w:t>
      </w:r>
      <w:r w:rsidR="00CE13A0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:</w:t>
      </w:r>
    </w:p>
    <w:p w14:paraId="1439CA08" w14:textId="77777777" w:rsidR="000A625B" w:rsidRPr="00E33FDD" w:rsidRDefault="000A625B" w:rsidP="000A625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Pubbli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care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un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rendiconto analitico dei fondi erogati a titolo di beneficenza e sponsorizzazione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, con relativi criteri di selezione;</w:t>
      </w:r>
    </w:p>
    <w:p w14:paraId="08084BE8" w14:textId="77777777" w:rsidR="000A625B" w:rsidRPr="00E33FDD" w:rsidRDefault="006B25CE" w:rsidP="000A625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Rivedere incisivamente il </w:t>
      </w:r>
      <w:r w:rsidR="000A625B"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 xml:space="preserve">tema dei compensi e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de</w:t>
      </w:r>
      <w:r w:rsidR="000A625B"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ll’equilibrio economico-finanziario generale</w:t>
      </w:r>
      <w:r w:rsidR="000A625B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della gesti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one;</w:t>
      </w:r>
    </w:p>
    <w:p w14:paraId="4154C332" w14:textId="77777777" w:rsidR="000A625B" w:rsidRPr="00E33FDD" w:rsidRDefault="000A625B" w:rsidP="000A625B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Promuov</w:t>
      </w:r>
      <w:r w:rsidR="006B25CE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ere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strumenti di </w:t>
      </w:r>
      <w:r w:rsidRPr="00E33FDD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</w:rPr>
        <w:t>partecipazione attiva e informazione periodica</w:t>
      </w: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rivolti alla base sociale.</w:t>
      </w:r>
    </w:p>
    <w:p w14:paraId="52ABEF0B" w14:textId="77777777" w:rsidR="000F5591" w:rsidRPr="00E33FDD" w:rsidRDefault="00FC0368" w:rsidP="007D3CB8">
      <w:pPr>
        <w:spacing w:after="0" w:line="36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Chiedo che il mio intervento venga testualmente riprodotto a verbale o allegato allo stesso, per cui consegno il relativo documento.</w:t>
      </w:r>
    </w:p>
    <w:p w14:paraId="69716AF7" w14:textId="3F0B77B8" w:rsidR="000A1298" w:rsidRPr="00E33FDD" w:rsidRDefault="000A1298" w:rsidP="0033400C">
      <w:pPr>
        <w:spacing w:after="0" w:line="360" w:lineRule="auto"/>
        <w:ind w:left="4248" w:firstLine="708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Maria Stella R</w:t>
      </w:r>
      <w:r w:rsidR="007D3CB8" w:rsidRPr="00E33FDD">
        <w:rPr>
          <w:rFonts w:ascii="Arial" w:eastAsia="Times New Roman" w:hAnsi="Arial" w:cs="Arial"/>
          <w:kern w:val="0"/>
          <w:sz w:val="24"/>
          <w:szCs w:val="24"/>
          <w:lang w:eastAsia="it-IT"/>
        </w:rPr>
        <w:t>agone</w:t>
      </w:r>
    </w:p>
    <w:p w14:paraId="3F216B09" w14:textId="77777777" w:rsidR="001307AF" w:rsidRPr="00E33FDD" w:rsidRDefault="001307AF">
      <w:pPr>
        <w:rPr>
          <w:rFonts w:ascii="Arial" w:hAnsi="Arial" w:cs="Arial"/>
          <w:sz w:val="24"/>
          <w:szCs w:val="24"/>
        </w:rPr>
      </w:pPr>
    </w:p>
    <w:sectPr w:rsidR="001307AF" w:rsidRPr="00E33FDD" w:rsidSect="00325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B7243"/>
    <w:multiLevelType w:val="hybridMultilevel"/>
    <w:tmpl w:val="9F24D406"/>
    <w:lvl w:ilvl="0" w:tplc="22020E22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97F7C"/>
    <w:multiLevelType w:val="multilevel"/>
    <w:tmpl w:val="E28C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941C7"/>
    <w:multiLevelType w:val="multilevel"/>
    <w:tmpl w:val="0F90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badi" w:eastAsia="Times New Roman" w:hAnsi="Abadi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447C7"/>
    <w:multiLevelType w:val="hybridMultilevel"/>
    <w:tmpl w:val="8A2AD6C0"/>
    <w:lvl w:ilvl="0" w:tplc="FBF6A5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F3FDA"/>
    <w:multiLevelType w:val="hybridMultilevel"/>
    <w:tmpl w:val="0CAC818E"/>
    <w:lvl w:ilvl="0" w:tplc="0410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9009815">
    <w:abstractNumId w:val="1"/>
  </w:num>
  <w:num w:numId="2" w16cid:durableId="1623417207">
    <w:abstractNumId w:val="2"/>
  </w:num>
  <w:num w:numId="3" w16cid:durableId="252977127">
    <w:abstractNumId w:val="0"/>
  </w:num>
  <w:num w:numId="4" w16cid:durableId="2028216556">
    <w:abstractNumId w:val="4"/>
  </w:num>
  <w:num w:numId="5" w16cid:durableId="1478106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38"/>
    <w:rsid w:val="0003781E"/>
    <w:rsid w:val="000A1298"/>
    <w:rsid w:val="000A625B"/>
    <w:rsid w:val="000F5591"/>
    <w:rsid w:val="001307AF"/>
    <w:rsid w:val="001352CF"/>
    <w:rsid w:val="00143995"/>
    <w:rsid w:val="003250D7"/>
    <w:rsid w:val="0033400C"/>
    <w:rsid w:val="0035762F"/>
    <w:rsid w:val="003C7A2B"/>
    <w:rsid w:val="004649C5"/>
    <w:rsid w:val="004A211D"/>
    <w:rsid w:val="004D6E98"/>
    <w:rsid w:val="005451DA"/>
    <w:rsid w:val="00585F82"/>
    <w:rsid w:val="00675D75"/>
    <w:rsid w:val="006842F8"/>
    <w:rsid w:val="006B25CE"/>
    <w:rsid w:val="00705238"/>
    <w:rsid w:val="00741989"/>
    <w:rsid w:val="00751572"/>
    <w:rsid w:val="007D3CB8"/>
    <w:rsid w:val="007D462C"/>
    <w:rsid w:val="007F454B"/>
    <w:rsid w:val="008268F9"/>
    <w:rsid w:val="00865DE2"/>
    <w:rsid w:val="008A0249"/>
    <w:rsid w:val="008E2F6D"/>
    <w:rsid w:val="0092754E"/>
    <w:rsid w:val="00933707"/>
    <w:rsid w:val="00964930"/>
    <w:rsid w:val="0099382B"/>
    <w:rsid w:val="00A15089"/>
    <w:rsid w:val="00B335CD"/>
    <w:rsid w:val="00B6678D"/>
    <w:rsid w:val="00CD3155"/>
    <w:rsid w:val="00CE13A0"/>
    <w:rsid w:val="00D219B8"/>
    <w:rsid w:val="00E26B8C"/>
    <w:rsid w:val="00E33FDD"/>
    <w:rsid w:val="00E75014"/>
    <w:rsid w:val="00EC2E4A"/>
    <w:rsid w:val="00F46DF8"/>
    <w:rsid w:val="00FC0368"/>
    <w:rsid w:val="00FD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87A"/>
  <w15:docId w15:val="{B4D8EF3A-3B5D-49A3-ADEB-AD90673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0D7"/>
  </w:style>
  <w:style w:type="paragraph" w:styleId="Titolo1">
    <w:name w:val="heading 1"/>
    <w:basedOn w:val="Normale"/>
    <w:next w:val="Normale"/>
    <w:link w:val="Titolo1Carattere"/>
    <w:uiPriority w:val="9"/>
    <w:qFormat/>
    <w:rsid w:val="00705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5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523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5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523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5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5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5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5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52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52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523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523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52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52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52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52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05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5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52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5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5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52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052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523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52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523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523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Rodolfo Pierri</cp:lastModifiedBy>
  <cp:revision>5</cp:revision>
  <dcterms:created xsi:type="dcterms:W3CDTF">2025-05-14T06:36:00Z</dcterms:created>
  <dcterms:modified xsi:type="dcterms:W3CDTF">2025-05-17T06:53:00Z</dcterms:modified>
</cp:coreProperties>
</file>